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F4" w:rsidRDefault="00C832F4" w:rsidP="00975C4D">
      <w:pPr>
        <w:pStyle w:val="Heading1"/>
      </w:pPr>
      <w:r>
        <w:t>Building the Community-Controlled Sector</w:t>
      </w:r>
    </w:p>
    <w:p w:rsidR="00C832F4" w:rsidRPr="00E04AA5" w:rsidRDefault="00C832F4" w:rsidP="00975C4D">
      <w:pPr>
        <w:pStyle w:val="Heading2"/>
      </w:pPr>
      <w:r w:rsidRPr="00975C4D">
        <w:rPr>
          <w:b/>
        </w:rPr>
        <w:t>Priority Reform Two</w:t>
      </w:r>
      <w:r>
        <w:t>, National Agreement on Closing the Gap</w:t>
      </w:r>
    </w:p>
    <w:p w:rsidR="00975C4D" w:rsidRDefault="00C832F4" w:rsidP="00C832F4">
      <w:pPr>
        <w:rPr>
          <w:rStyle w:val="IntenseEmphasis"/>
          <w:color w:val="3B3838" w:themeColor="background2" w:themeShade="40"/>
        </w:rPr>
      </w:pPr>
      <w:r w:rsidRPr="000C3338">
        <w:rPr>
          <w:rStyle w:val="IntenseEmphasis"/>
          <w:color w:val="3B3838" w:themeColor="background2" w:themeShade="40"/>
        </w:rPr>
        <w:t>“A community</w:t>
      </w:r>
      <w:r w:rsidRPr="00975C4D">
        <w:rPr>
          <w:rStyle w:val="IntenseEmphasis"/>
          <w:color w:val="3B3838" w:themeColor="background2" w:themeShade="40"/>
        </w:rPr>
        <w:t>-controlled organisation implicitly recogni</w:t>
      </w:r>
      <w:r w:rsidR="006C57B2">
        <w:rPr>
          <w:rStyle w:val="IntenseEmphasis"/>
          <w:color w:val="3B3838" w:themeColor="background2" w:themeShade="40"/>
        </w:rPr>
        <w:t xml:space="preserve">ses the strength, the expertise </w:t>
      </w:r>
      <w:r w:rsidRPr="00975C4D">
        <w:rPr>
          <w:rStyle w:val="IntenseEmphasis"/>
          <w:color w:val="3B3838" w:themeColor="background2" w:themeShade="40"/>
        </w:rPr>
        <w:t>and the right to self-determina</w:t>
      </w:r>
      <w:r w:rsidR="00975C4D">
        <w:rPr>
          <w:rStyle w:val="IntenseEmphasis"/>
          <w:color w:val="3B3838" w:themeColor="background2" w:themeShade="40"/>
        </w:rPr>
        <w:t>tion by Indigenous communities.”</w:t>
      </w:r>
    </w:p>
    <w:p w:rsidR="00C832F4" w:rsidRDefault="00C832F4" w:rsidP="00C832F4">
      <w:pPr>
        <w:rPr>
          <w:rStyle w:val="IntenseEmphasis"/>
          <w:b/>
          <w:color w:val="3B3838" w:themeColor="background2" w:themeShade="40"/>
        </w:rPr>
      </w:pPr>
      <w:r w:rsidRPr="00975C4D">
        <w:rPr>
          <w:rStyle w:val="IntenseEmphasis"/>
          <w:b/>
          <w:color w:val="3B3838" w:themeColor="background2" w:themeShade="40"/>
        </w:rPr>
        <w:t>– Engagement participant at New South Wales Meeting</w:t>
      </w:r>
    </w:p>
    <w:p w:rsidR="006C57B2" w:rsidRPr="00975C4D" w:rsidRDefault="006C57B2" w:rsidP="00C832F4">
      <w:pPr>
        <w:rPr>
          <w:rStyle w:val="IntenseEmphasis"/>
          <w:b/>
          <w:color w:val="3B3838" w:themeColor="background2" w:themeShade="40"/>
        </w:rPr>
      </w:pPr>
    </w:p>
    <w:p w:rsidR="00C832F4" w:rsidRPr="006C57B2" w:rsidRDefault="00C832F4" w:rsidP="00C832F4">
      <w:pPr>
        <w:rPr>
          <w:b/>
          <w:lang w:val="en-US"/>
        </w:rPr>
      </w:pPr>
      <w:r>
        <w:rPr>
          <w:lang w:val="en-US"/>
        </w:rPr>
        <w:t xml:space="preserve">The National Agreement on Closing the Gap is built around four new Priority Reforms that will change the way governments work with Aboriginal and Torres Strait Islander people and </w:t>
      </w:r>
      <w:proofErr w:type="gramStart"/>
      <w:r>
        <w:rPr>
          <w:lang w:val="en-US"/>
        </w:rPr>
        <w:t>communities</w:t>
      </w:r>
      <w:proofErr w:type="gramEnd"/>
      <w:r>
        <w:rPr>
          <w:lang w:val="en-US"/>
        </w:rPr>
        <w:t>.</w:t>
      </w:r>
    </w:p>
    <w:p w:rsidR="00C832F4" w:rsidRDefault="00C832F4" w:rsidP="00C832F4">
      <w:pPr>
        <w:rPr>
          <w:lang w:val="en-US"/>
        </w:rPr>
      </w:pPr>
      <w:r>
        <w:rPr>
          <w:lang w:val="en-US"/>
        </w:rPr>
        <w:t>Priority Reform Two is about building the community-controlled sector.</w:t>
      </w:r>
    </w:p>
    <w:p w:rsidR="00C832F4" w:rsidRDefault="00C832F4" w:rsidP="00C832F4">
      <w:pPr>
        <w:rPr>
          <w:lang w:val="en-US"/>
        </w:rPr>
      </w:pPr>
      <w:r>
        <w:rPr>
          <w:lang w:val="en-US"/>
        </w:rPr>
        <w:t>As part of this Priority Reform, parties are committing to building formal Aboriginal and Torres Strait Islander community-controll</w:t>
      </w:r>
      <w:bookmarkStart w:id="0" w:name="_GoBack"/>
      <w:bookmarkEnd w:id="0"/>
      <w:r>
        <w:rPr>
          <w:lang w:val="en-US"/>
        </w:rPr>
        <w:t xml:space="preserve">ed sectors to deliver services to support </w:t>
      </w:r>
      <w:proofErr w:type="gramStart"/>
      <w:r>
        <w:rPr>
          <w:lang w:val="en-US"/>
        </w:rPr>
        <w:t>Closing</w:t>
      </w:r>
      <w:proofErr w:type="gramEnd"/>
      <w:r>
        <w:rPr>
          <w:lang w:val="en-US"/>
        </w:rPr>
        <w:t xml:space="preserve"> the Gap.</w:t>
      </w:r>
    </w:p>
    <w:p w:rsidR="00C832F4" w:rsidRDefault="00C832F4" w:rsidP="00C832F4">
      <w:pPr>
        <w:rPr>
          <w:lang w:val="en-US"/>
        </w:rPr>
      </w:pPr>
      <w:r>
        <w:rPr>
          <w:lang w:val="en-US"/>
        </w:rPr>
        <w:t>Aboriginal and Torres Strait Islander community-controlled services usually achieve better results, employ more Aboriginal and Torres Strait Islander people, and can be given preference over mainstream services.</w:t>
      </w:r>
    </w:p>
    <w:p w:rsidR="00C832F4" w:rsidRDefault="00C832F4" w:rsidP="006C57B2">
      <w:pPr>
        <w:pStyle w:val="Heading3"/>
      </w:pPr>
      <w:r>
        <w:t xml:space="preserve">What is a community-controlled </w:t>
      </w:r>
      <w:proofErr w:type="spellStart"/>
      <w:r>
        <w:t>organisation</w:t>
      </w:r>
      <w:proofErr w:type="spellEnd"/>
      <w:r>
        <w:t>?</w:t>
      </w:r>
    </w:p>
    <w:p w:rsidR="00C832F4" w:rsidRDefault="00C832F4" w:rsidP="00C832F4">
      <w:pPr>
        <w:rPr>
          <w:lang w:val="en-US"/>
        </w:rPr>
      </w:pPr>
      <w:r>
        <w:rPr>
          <w:lang w:val="en-US"/>
        </w:rPr>
        <w:t xml:space="preserve">Community-controlled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deliver services that strengthen and empower Aboriginal and Torres Strait Islander communities and people and are:</w:t>
      </w:r>
    </w:p>
    <w:p w:rsidR="00C832F4" w:rsidRDefault="00C832F4" w:rsidP="00C832F4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Incorporated under relevant legislation and not-for-profit</w:t>
      </w:r>
    </w:p>
    <w:p w:rsidR="00C832F4" w:rsidRDefault="00C832F4" w:rsidP="00C832F4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Controlled and operated by Aboriginal and Torres Strait Islander people</w:t>
      </w:r>
    </w:p>
    <w:p w:rsidR="00C832F4" w:rsidRDefault="00C832F4" w:rsidP="00C832F4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Connected to the community, or communities, in which they deliver services</w:t>
      </w:r>
    </w:p>
    <w:p w:rsidR="00C832F4" w:rsidRPr="00A11021" w:rsidRDefault="00C832F4" w:rsidP="00C832F4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Governed by a majority Aboriginal and Torres Strait Islander governing body</w:t>
      </w:r>
    </w:p>
    <w:p w:rsidR="00C832F4" w:rsidRDefault="00C832F4" w:rsidP="006C57B2">
      <w:pPr>
        <w:pStyle w:val="Heading3"/>
      </w:pPr>
      <w:r>
        <w:t>Strong Community-Controlled Sector Elements</w:t>
      </w:r>
    </w:p>
    <w:p w:rsidR="00C832F4" w:rsidRDefault="00C832F4" w:rsidP="00C832F4">
      <w:pPr>
        <w:rPr>
          <w:lang w:val="en-US"/>
        </w:rPr>
      </w:pPr>
      <w:r>
        <w:rPr>
          <w:lang w:val="en-US"/>
        </w:rPr>
        <w:t>Strong community-controlled sectors are those:</w:t>
      </w:r>
    </w:p>
    <w:p w:rsidR="00C832F4" w:rsidRDefault="00C832F4" w:rsidP="00C832F4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Where there is sustained capacity building and investment</w:t>
      </w:r>
    </w:p>
    <w:p w:rsidR="00C832F4" w:rsidRDefault="00C832F4" w:rsidP="00C832F4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Where there is a dedicated and identified Aboriginal and Torres Strait Islander workforce</w:t>
      </w:r>
    </w:p>
    <w:p w:rsidR="00C832F4" w:rsidRDefault="00C832F4" w:rsidP="00C832F4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That are supported by a Peak Body which has strong governance, policy development, and influencing capacity</w:t>
      </w:r>
    </w:p>
    <w:p w:rsidR="00C832F4" w:rsidRPr="00E04AA5" w:rsidRDefault="00C832F4" w:rsidP="00C832F4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Have a dedicated, reliable and consistent funding model designed to suit the types of services required by communities</w:t>
      </w:r>
    </w:p>
    <w:p w:rsidR="00C832F4" w:rsidRDefault="00C832F4" w:rsidP="006C57B2">
      <w:pPr>
        <w:pStyle w:val="Heading3"/>
      </w:pPr>
      <w:r>
        <w:t>Government Actions under the National Agreement</w:t>
      </w:r>
    </w:p>
    <w:p w:rsidR="00C832F4" w:rsidRDefault="00C832F4" w:rsidP="00C832F4">
      <w:pPr>
        <w:rPr>
          <w:lang w:val="en-US"/>
        </w:rPr>
      </w:pPr>
      <w:r>
        <w:rPr>
          <w:lang w:val="en-US"/>
        </w:rPr>
        <w:lastRenderedPageBreak/>
        <w:t xml:space="preserve">Governments commit to building strong Aboriginal and Torres Strait Islander community-controlled sectors and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in line with the strong sector elements.</w:t>
      </w:r>
    </w:p>
    <w:p w:rsidR="00C832F4" w:rsidRPr="00DB5B10" w:rsidRDefault="00C832F4" w:rsidP="00C832F4">
      <w:pPr>
        <w:rPr>
          <w:lang w:val="en-US"/>
        </w:rPr>
      </w:pPr>
      <w:r>
        <w:rPr>
          <w:lang w:val="en-US"/>
        </w:rPr>
        <w:t xml:space="preserve">Governments commit to increase the proportion of services delivered by Aboriginal and Torres Strait Islander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>.</w:t>
      </w:r>
    </w:p>
    <w:p w:rsidR="00C832F4" w:rsidRDefault="00C832F4" w:rsidP="006C57B2">
      <w:pPr>
        <w:pStyle w:val="Heading3"/>
      </w:pPr>
      <w:r>
        <w:t>Partnership Actions under the National Agreement</w:t>
      </w:r>
    </w:p>
    <w:p w:rsidR="00C832F4" w:rsidRDefault="00C832F4" w:rsidP="00C832F4">
      <w:pPr>
        <w:rPr>
          <w:lang w:val="en-US"/>
        </w:rPr>
      </w:pPr>
      <w:r>
        <w:rPr>
          <w:lang w:val="en-US"/>
        </w:rPr>
        <w:t>Building strong community-controlled sectors requires national effort and joined up delivery against all sector elements.</w:t>
      </w:r>
    </w:p>
    <w:p w:rsidR="00C832F4" w:rsidRDefault="00C832F4" w:rsidP="00C832F4">
      <w:pPr>
        <w:rPr>
          <w:lang w:val="en-US"/>
        </w:rPr>
      </w:pPr>
      <w:r>
        <w:rPr>
          <w:lang w:val="en-US"/>
        </w:rPr>
        <w:t>The Joint Council on Closing the Gap will together develop Sector Strengthening Plans for specific sectors every three years. The first four sectors are:</w:t>
      </w:r>
    </w:p>
    <w:p w:rsidR="00C832F4" w:rsidRDefault="00C832F4" w:rsidP="00C832F4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Early childhood care and development</w:t>
      </w:r>
    </w:p>
    <w:p w:rsidR="00C832F4" w:rsidRDefault="00C832F4" w:rsidP="00C832F4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Housing</w:t>
      </w:r>
    </w:p>
    <w:p w:rsidR="00C832F4" w:rsidRDefault="00C832F4" w:rsidP="00C832F4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Health</w:t>
      </w:r>
    </w:p>
    <w:p w:rsidR="00C832F4" w:rsidRDefault="00C832F4" w:rsidP="00C832F4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Disability</w:t>
      </w:r>
    </w:p>
    <w:p w:rsidR="00C832F4" w:rsidRPr="007154E5" w:rsidRDefault="00C832F4" w:rsidP="00C832F4">
      <w:pPr>
        <w:rPr>
          <w:rFonts w:ascii="Arial" w:eastAsiaTheme="majorEastAsia" w:hAnsi="Arial" w:cstheme="majorBidi"/>
          <w:b/>
          <w:bCs/>
          <w:smallCaps/>
          <w:color w:val="06527F"/>
          <w:sz w:val="32"/>
          <w:szCs w:val="36"/>
        </w:rPr>
      </w:pPr>
      <w:r>
        <w:rPr>
          <w:lang w:val="en-US"/>
        </w:rPr>
        <w:t>Sector Strengthening Plans will focus on workforce, capital infrastructure, service provision and governance.</w:t>
      </w:r>
    </w:p>
    <w:p w:rsidR="006D0E9E" w:rsidRDefault="006D0E9E" w:rsidP="007154E5"/>
    <w:sectPr w:rsidR="006D0E9E" w:rsidSect="007154E5">
      <w:headerReference w:type="default" r:id="rId8"/>
      <w:footerReference w:type="default" r:id="rId9"/>
      <w:pgSz w:w="11906" w:h="16838"/>
      <w:pgMar w:top="241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49" w:rsidRDefault="000E6C49" w:rsidP="000E6C49">
      <w:pPr>
        <w:spacing w:after="0" w:line="240" w:lineRule="auto"/>
      </w:pPr>
      <w:r>
        <w:separator/>
      </w:r>
    </w:p>
  </w:endnote>
  <w:endnote w:type="continuationSeparator" w:id="0">
    <w:p w:rsidR="000E6C49" w:rsidRDefault="000E6C49" w:rsidP="000E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49" w:rsidRDefault="000E6C49" w:rsidP="000E6C49">
    <w:pPr>
      <w:pStyle w:val="Footer"/>
      <w:rPr>
        <w:noProof/>
        <w:lang w:eastAsia="en-AU"/>
      </w:rPr>
    </w:pPr>
  </w:p>
  <w:p w:rsidR="000E6C49" w:rsidRPr="000E6C49" w:rsidRDefault="000E6C49" w:rsidP="000E6C4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-901700</wp:posOffset>
          </wp:positionH>
          <wp:positionV relativeFrom="margin">
            <wp:posOffset>9857105</wp:posOffset>
          </wp:positionV>
          <wp:extent cx="7621270" cy="196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G-Partnership-followp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222"/>
                  <a:stretch/>
                </pic:blipFill>
                <pic:spPr bwMode="auto">
                  <a:xfrm>
                    <a:off x="0" y="0"/>
                    <a:ext cx="7621270" cy="19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49" w:rsidRDefault="000E6C49" w:rsidP="000E6C49">
      <w:pPr>
        <w:spacing w:after="0" w:line="240" w:lineRule="auto"/>
      </w:pPr>
      <w:r>
        <w:separator/>
      </w:r>
    </w:p>
  </w:footnote>
  <w:footnote w:type="continuationSeparator" w:id="0">
    <w:p w:rsidR="000E6C49" w:rsidRDefault="000E6C49" w:rsidP="000E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49" w:rsidRDefault="000E6C4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-901700</wp:posOffset>
          </wp:positionH>
          <wp:positionV relativeFrom="margin">
            <wp:posOffset>-1532284</wp:posOffset>
          </wp:positionV>
          <wp:extent cx="7550150" cy="93854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G-Partnership-follow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938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483"/>
    <w:multiLevelType w:val="hybridMultilevel"/>
    <w:tmpl w:val="EF24E1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60C"/>
    <w:multiLevelType w:val="hybridMultilevel"/>
    <w:tmpl w:val="FDA0693A"/>
    <w:lvl w:ilvl="0" w:tplc="3F3C5BC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C77446DA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6B9CE1FC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10863DA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AA26238C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398068BA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3D2AC3FC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49222ABE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15861204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2" w15:restartNumberingAfterBreak="0">
    <w:nsid w:val="1482775B"/>
    <w:multiLevelType w:val="multilevel"/>
    <w:tmpl w:val="8B3E6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6551A6"/>
    <w:multiLevelType w:val="hybridMultilevel"/>
    <w:tmpl w:val="21925086"/>
    <w:lvl w:ilvl="0" w:tplc="90B4E3C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FBFEF828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C37C042E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CF568F3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D2906A44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2CD0707E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F9BC5B26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5E3C91D2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9BE4DEE8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4" w15:restartNumberingAfterBreak="0">
    <w:nsid w:val="1CC60C4F"/>
    <w:multiLevelType w:val="hybridMultilevel"/>
    <w:tmpl w:val="EF24E1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01A40"/>
    <w:multiLevelType w:val="hybridMultilevel"/>
    <w:tmpl w:val="651EC9BA"/>
    <w:lvl w:ilvl="0" w:tplc="9FE230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09AEC798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B328B55C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2B0CD024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6DA855EA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7C6A80E8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CC8CAB62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3A18399C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6B7E3720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6" w15:restartNumberingAfterBreak="0">
    <w:nsid w:val="350B30D6"/>
    <w:multiLevelType w:val="hybridMultilevel"/>
    <w:tmpl w:val="80ACB954"/>
    <w:lvl w:ilvl="0" w:tplc="3E38779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4A18FC66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633EDF62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4CFA8EFC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DD50D398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FCA87654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F6C0C742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CAE664C4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4D226DBE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7" w15:restartNumberingAfterBreak="0">
    <w:nsid w:val="39E12F87"/>
    <w:multiLevelType w:val="hybridMultilevel"/>
    <w:tmpl w:val="0D360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F19AC"/>
    <w:multiLevelType w:val="hybridMultilevel"/>
    <w:tmpl w:val="1164912E"/>
    <w:lvl w:ilvl="0" w:tplc="1D0A5E8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878F9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DF4707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2647D"/>
    <w:multiLevelType w:val="hybridMultilevel"/>
    <w:tmpl w:val="BFE8CE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81E1A"/>
    <w:multiLevelType w:val="hybridMultilevel"/>
    <w:tmpl w:val="F844F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51120"/>
    <w:multiLevelType w:val="hybridMultilevel"/>
    <w:tmpl w:val="4EA2167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836333A"/>
    <w:multiLevelType w:val="hybridMultilevel"/>
    <w:tmpl w:val="E7C4EFBC"/>
    <w:lvl w:ilvl="0" w:tplc="C0202AE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D5AC9DFE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8B9661B4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CB96E79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5C409F9C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C19E84C2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A2D409E4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F0A46000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4F1692BA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13" w15:restartNumberingAfterBreak="0">
    <w:nsid w:val="6FA26877"/>
    <w:multiLevelType w:val="hybridMultilevel"/>
    <w:tmpl w:val="C9AA127E"/>
    <w:lvl w:ilvl="0" w:tplc="DDB4CBF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2404264C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9B48BAA2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675A3DF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82AC8188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E528B0DC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814CBB78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61686C68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3DF40812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14" w15:restartNumberingAfterBreak="0">
    <w:nsid w:val="7493799A"/>
    <w:multiLevelType w:val="hybridMultilevel"/>
    <w:tmpl w:val="9FFC225A"/>
    <w:lvl w:ilvl="0" w:tplc="2E8E4E4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C5909B10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482402FE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26C0F58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11A6740A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3A485502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94A04976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CA2450D6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8626C4F4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15" w15:restartNumberingAfterBreak="0">
    <w:nsid w:val="761D0635"/>
    <w:multiLevelType w:val="hybridMultilevel"/>
    <w:tmpl w:val="8A542782"/>
    <w:lvl w:ilvl="0" w:tplc="2E1C53F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8EC6DB32">
      <w:numFmt w:val="bullet"/>
      <w:lvlText w:val="•"/>
      <w:lvlJc w:val="left"/>
      <w:pPr>
        <w:ind w:left="1461" w:hanging="360"/>
      </w:pPr>
      <w:rPr>
        <w:lang w:val="en-US" w:eastAsia="en-US" w:bidi="en-US"/>
      </w:rPr>
    </w:lvl>
    <w:lvl w:ilvl="2" w:tplc="A350DEA8">
      <w:numFmt w:val="bullet"/>
      <w:lvlText w:val="•"/>
      <w:lvlJc w:val="left"/>
      <w:pPr>
        <w:ind w:left="2083" w:hanging="360"/>
      </w:pPr>
      <w:rPr>
        <w:lang w:val="en-US" w:eastAsia="en-US" w:bidi="en-US"/>
      </w:rPr>
    </w:lvl>
    <w:lvl w:ilvl="3" w:tplc="9786667E">
      <w:numFmt w:val="bullet"/>
      <w:lvlText w:val="•"/>
      <w:lvlJc w:val="left"/>
      <w:pPr>
        <w:ind w:left="2705" w:hanging="360"/>
      </w:pPr>
      <w:rPr>
        <w:lang w:val="en-US" w:eastAsia="en-US" w:bidi="en-US"/>
      </w:rPr>
    </w:lvl>
    <w:lvl w:ilvl="4" w:tplc="4F6A05DA">
      <w:numFmt w:val="bullet"/>
      <w:lvlText w:val="•"/>
      <w:lvlJc w:val="left"/>
      <w:pPr>
        <w:ind w:left="3327" w:hanging="360"/>
      </w:pPr>
      <w:rPr>
        <w:lang w:val="en-US" w:eastAsia="en-US" w:bidi="en-US"/>
      </w:rPr>
    </w:lvl>
    <w:lvl w:ilvl="5" w:tplc="CA1E6628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6" w:tplc="9AA89D16">
      <w:numFmt w:val="bullet"/>
      <w:lvlText w:val="•"/>
      <w:lvlJc w:val="left"/>
      <w:pPr>
        <w:ind w:left="4570" w:hanging="360"/>
      </w:pPr>
      <w:rPr>
        <w:lang w:val="en-US" w:eastAsia="en-US" w:bidi="en-US"/>
      </w:rPr>
    </w:lvl>
    <w:lvl w:ilvl="7" w:tplc="FAB4792E">
      <w:numFmt w:val="bullet"/>
      <w:lvlText w:val="•"/>
      <w:lvlJc w:val="left"/>
      <w:pPr>
        <w:ind w:left="5192" w:hanging="360"/>
      </w:pPr>
      <w:rPr>
        <w:lang w:val="en-US" w:eastAsia="en-US" w:bidi="en-US"/>
      </w:rPr>
    </w:lvl>
    <w:lvl w:ilvl="8" w:tplc="777AEBE8">
      <w:numFmt w:val="bullet"/>
      <w:lvlText w:val="•"/>
      <w:lvlJc w:val="left"/>
      <w:pPr>
        <w:ind w:left="5814" w:hanging="360"/>
      </w:pPr>
      <w:rPr>
        <w:lang w:val="en-US" w:eastAsia="en-US" w:bidi="en-US"/>
      </w:rPr>
    </w:lvl>
  </w:abstractNum>
  <w:abstractNum w:abstractNumId="16" w15:restartNumberingAfterBreak="0">
    <w:nsid w:val="7D556AEA"/>
    <w:multiLevelType w:val="hybridMultilevel"/>
    <w:tmpl w:val="CCAA3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13"/>
  </w:num>
  <w:num w:numId="6">
    <w:abstractNumId w:val="15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4"/>
  </w:num>
  <w:num w:numId="12">
    <w:abstractNumId w:val="11"/>
  </w:num>
  <w:num w:numId="13">
    <w:abstractNumId w:val="7"/>
  </w:num>
  <w:num w:numId="14">
    <w:abstractNumId w:val="9"/>
  </w:num>
  <w:num w:numId="15">
    <w:abstractNumId w:val="10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0A"/>
    <w:rsid w:val="00085F71"/>
    <w:rsid w:val="000C3338"/>
    <w:rsid w:val="000E6C49"/>
    <w:rsid w:val="00327262"/>
    <w:rsid w:val="003302ED"/>
    <w:rsid w:val="00353A99"/>
    <w:rsid w:val="003F7FDC"/>
    <w:rsid w:val="004825EE"/>
    <w:rsid w:val="004873BD"/>
    <w:rsid w:val="005230F3"/>
    <w:rsid w:val="0054517B"/>
    <w:rsid w:val="005624AE"/>
    <w:rsid w:val="00592F99"/>
    <w:rsid w:val="005A6109"/>
    <w:rsid w:val="006C57B2"/>
    <w:rsid w:val="006D0E9E"/>
    <w:rsid w:val="007154E5"/>
    <w:rsid w:val="00813B44"/>
    <w:rsid w:val="00970A97"/>
    <w:rsid w:val="00975C4D"/>
    <w:rsid w:val="00A07A0A"/>
    <w:rsid w:val="00A34367"/>
    <w:rsid w:val="00AC7873"/>
    <w:rsid w:val="00C420FD"/>
    <w:rsid w:val="00C832F4"/>
    <w:rsid w:val="00D24497"/>
    <w:rsid w:val="00D9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D486DC"/>
  <w15:chartTrackingRefBased/>
  <w15:docId w15:val="{5593DA62-0C88-4C65-AC99-0283592F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E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5EE"/>
    <w:pPr>
      <w:spacing w:after="360"/>
      <w:outlineLvl w:val="0"/>
    </w:pPr>
    <w:rPr>
      <w:rFonts w:ascii="Century Gothic" w:eastAsiaTheme="majorEastAsia" w:hAnsi="Century Gothic" w:cstheme="majorBidi"/>
      <w:b/>
      <w:bCs/>
      <w:color w:val="06527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5EE"/>
    <w:pPr>
      <w:keepNext/>
      <w:keepLines/>
      <w:spacing w:after="240"/>
      <w:outlineLvl w:val="1"/>
    </w:pPr>
    <w:rPr>
      <w:rFonts w:ascii="Century Gothic" w:eastAsiaTheme="majorEastAsia" w:hAnsi="Century Gothic" w:cstheme="majorBidi"/>
      <w:color w:val="923F26"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4825EE"/>
    <w:pPr>
      <w:spacing w:before="360" w:after="240"/>
      <w:outlineLvl w:val="2"/>
    </w:pPr>
    <w:rPr>
      <w:rFonts w:ascii="Century Gothic" w:hAnsi="Century Gothic"/>
      <w:b/>
      <w:color w:val="06527F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4E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4E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4E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4E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4E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Paragraph">
    <w:name w:val="Single Paragraph"/>
    <w:basedOn w:val="Normal"/>
    <w:rsid w:val="00A07A0A"/>
    <w:pPr>
      <w:spacing w:after="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Bold">
    <w:name w:val="Bold"/>
    <w:rsid w:val="00A07A0A"/>
    <w:rPr>
      <w:b/>
    </w:rPr>
  </w:style>
  <w:style w:type="paragraph" w:customStyle="1" w:styleId="Signed">
    <w:name w:val="Signed"/>
    <w:basedOn w:val="Normal"/>
    <w:rsid w:val="00A07A0A"/>
    <w:pPr>
      <w:spacing w:after="120" w:line="240" w:lineRule="auto"/>
      <w:jc w:val="both"/>
    </w:pPr>
    <w:rPr>
      <w:rFonts w:ascii="Book Antiqua" w:eastAsia="Times New Roman" w:hAnsi="Book Antiqua" w:cs="Times New Roman"/>
      <w:bCs/>
      <w:i/>
      <w:color w:val="000000"/>
      <w:szCs w:val="20"/>
      <w:lang w:eastAsia="en-AU"/>
    </w:rPr>
  </w:style>
  <w:style w:type="paragraph" w:customStyle="1" w:styleId="Position">
    <w:name w:val="Position"/>
    <w:basedOn w:val="Normal"/>
    <w:rsid w:val="00A07A0A"/>
    <w:pPr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eastAsia="en-AU"/>
    </w:rPr>
  </w:style>
  <w:style w:type="character" w:customStyle="1" w:styleId="SignedBold">
    <w:name w:val="SignedBold"/>
    <w:rsid w:val="00A07A0A"/>
    <w:rPr>
      <w:b/>
      <w:i/>
    </w:rPr>
  </w:style>
  <w:style w:type="paragraph" w:customStyle="1" w:styleId="LineForSignature">
    <w:name w:val="LineForSignature"/>
    <w:basedOn w:val="Normal"/>
    <w:rsid w:val="00A07A0A"/>
    <w:pPr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0E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49"/>
  </w:style>
  <w:style w:type="paragraph" w:styleId="Footer">
    <w:name w:val="footer"/>
    <w:basedOn w:val="Normal"/>
    <w:link w:val="FooterChar"/>
    <w:uiPriority w:val="99"/>
    <w:unhideWhenUsed/>
    <w:rsid w:val="000E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C49"/>
  </w:style>
  <w:style w:type="character" w:customStyle="1" w:styleId="Heading1Char">
    <w:name w:val="Heading 1 Char"/>
    <w:basedOn w:val="DefaultParagraphFont"/>
    <w:link w:val="Heading1"/>
    <w:uiPriority w:val="9"/>
    <w:rsid w:val="004825EE"/>
    <w:rPr>
      <w:rFonts w:ascii="Century Gothic" w:eastAsiaTheme="majorEastAsia" w:hAnsi="Century Gothic" w:cstheme="majorBidi"/>
      <w:b/>
      <w:bCs/>
      <w:color w:val="06527F"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825EE"/>
    <w:rPr>
      <w:rFonts w:ascii="Century Gothic" w:eastAsiaTheme="minorEastAsia" w:hAnsi="Century Gothic"/>
      <w:b/>
      <w:color w:val="06527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4E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4E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4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4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4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154E5"/>
    <w:pPr>
      <w:widowControl w:val="0"/>
      <w:autoSpaceDE w:val="0"/>
      <w:autoSpaceDN w:val="0"/>
      <w:spacing w:after="0" w:line="292" w:lineRule="exact"/>
      <w:ind w:left="830" w:hanging="360"/>
    </w:pPr>
    <w:rPr>
      <w:rFonts w:ascii="Calibri" w:eastAsia="Calibri" w:hAnsi="Calibri" w:cs="Calibri"/>
      <w:lang w:val="en-US" w:bidi="en-US"/>
    </w:rPr>
  </w:style>
  <w:style w:type="paragraph" w:styleId="ListParagraph">
    <w:name w:val="List Paragraph"/>
    <w:basedOn w:val="Normal"/>
    <w:uiPriority w:val="34"/>
    <w:qFormat/>
    <w:rsid w:val="003F7FDC"/>
    <w:pPr>
      <w:ind w:left="720"/>
      <w:contextualSpacing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4825EE"/>
    <w:rPr>
      <w:rFonts w:ascii="Century Gothic" w:eastAsiaTheme="majorEastAsia" w:hAnsi="Century Gothic" w:cstheme="majorBidi"/>
      <w:color w:val="923F26"/>
      <w:sz w:val="28"/>
      <w:szCs w:val="28"/>
      <w:lang w:val="en-US"/>
    </w:rPr>
  </w:style>
  <w:style w:type="character" w:styleId="IntenseEmphasis">
    <w:name w:val="Intense Emphasis"/>
    <w:basedOn w:val="DefaultParagraphFont"/>
    <w:uiPriority w:val="21"/>
    <w:qFormat/>
    <w:rsid w:val="004825EE"/>
    <w:rPr>
      <w:rFonts w:ascii="Century Gothic" w:hAnsi="Century Gothic"/>
      <w:i/>
      <w:iCs/>
      <w:color w:val="3B3838" w:themeColor="background2" w:themeShade="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4BE1C-2D69-4F8F-8EC9-189D3347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the Gap 2020: Priority Reform 2</dc:title>
  <dc:subject/>
  <dc:creator>National Indigenous Australians Agency</dc:creator>
  <cp:keywords/>
  <dc:description/>
  <cp:revision>4</cp:revision>
  <dcterms:created xsi:type="dcterms:W3CDTF">2020-07-23T23:07:00Z</dcterms:created>
  <dcterms:modified xsi:type="dcterms:W3CDTF">2020-07-23T23:09:00Z</dcterms:modified>
</cp:coreProperties>
</file>