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E7" w:rsidRDefault="007D3CE7" w:rsidP="007D3CE7">
      <w:pPr>
        <w:pStyle w:val="Heading1"/>
      </w:pPr>
      <w:r>
        <w:t xml:space="preserve">Transforming Government </w:t>
      </w:r>
      <w:proofErr w:type="spellStart"/>
      <w:r>
        <w:t>Organisations</w:t>
      </w:r>
      <w:proofErr w:type="spellEnd"/>
    </w:p>
    <w:p w:rsidR="007D3CE7" w:rsidRPr="00E04AA5" w:rsidRDefault="007D3CE7" w:rsidP="007D3CE7">
      <w:pPr>
        <w:pStyle w:val="Heading2"/>
      </w:pPr>
      <w:r w:rsidRPr="007D3CE7">
        <w:rPr>
          <w:b/>
        </w:rPr>
        <w:t>Priority Reform Three,</w:t>
      </w:r>
      <w:r>
        <w:t xml:space="preserve"> National Agreement on Closing the Gap</w:t>
      </w:r>
    </w:p>
    <w:p w:rsidR="007D3CE7" w:rsidRPr="007D3CE7" w:rsidRDefault="007D3CE7" w:rsidP="007D3CE7">
      <w:pPr>
        <w:rPr>
          <w:rStyle w:val="IntenseEmphasis"/>
          <w:color w:val="3B3838" w:themeColor="background2" w:themeShade="40"/>
        </w:rPr>
      </w:pPr>
      <w:r w:rsidRPr="007D3CE7">
        <w:rPr>
          <w:rStyle w:val="IntenseEmphasis"/>
          <w:color w:val="3B3838" w:themeColor="background2" w:themeShade="40"/>
        </w:rPr>
        <w:t xml:space="preserve"> “To be effective, mainstream organisations need to spend time understanding what is happening in our communities and need to recognise and understand the skills that Aboriginal and Torres Strait Islander people hold.”</w:t>
      </w:r>
    </w:p>
    <w:p w:rsidR="007D3CE7" w:rsidRDefault="007D3CE7" w:rsidP="007D3CE7">
      <w:pPr>
        <w:rPr>
          <w:rStyle w:val="IntenseEmphasis"/>
          <w:b/>
          <w:color w:val="3B3838" w:themeColor="background2" w:themeShade="40"/>
        </w:rPr>
      </w:pPr>
      <w:r w:rsidRPr="007D3CE7">
        <w:rPr>
          <w:rStyle w:val="IntenseEmphasis"/>
          <w:b/>
          <w:color w:val="3B3838" w:themeColor="background2" w:themeShade="40"/>
        </w:rPr>
        <w:t>– Engagement participant at Coalition of Peaks membership meeting in the Torres Strait</w:t>
      </w:r>
    </w:p>
    <w:p w:rsidR="007D3CE7" w:rsidRPr="007D3CE7" w:rsidRDefault="007D3CE7" w:rsidP="007D3CE7">
      <w:pPr>
        <w:rPr>
          <w:rStyle w:val="IntenseEmphasis"/>
          <w:b/>
          <w:color w:val="3B3838" w:themeColor="background2" w:themeShade="40"/>
        </w:rPr>
      </w:pPr>
    </w:p>
    <w:p w:rsidR="007D3CE7" w:rsidRDefault="007D3CE7" w:rsidP="007D3CE7">
      <w:pPr>
        <w:rPr>
          <w:lang w:val="en-US"/>
        </w:rPr>
      </w:pPr>
      <w:r>
        <w:rPr>
          <w:lang w:val="en-US"/>
        </w:rPr>
        <w:t xml:space="preserve">The National Agreement on Closing the Gap is built around four new Priority Reforms that will change the way governments work with Aboriginal and Torres Strait Islander people and </w:t>
      </w:r>
      <w:proofErr w:type="gramStart"/>
      <w:r>
        <w:rPr>
          <w:lang w:val="en-US"/>
        </w:rPr>
        <w:t>communities</w:t>
      </w:r>
      <w:proofErr w:type="gramEnd"/>
      <w:r>
        <w:rPr>
          <w:lang w:val="en-US"/>
        </w:rPr>
        <w:t>.</w:t>
      </w:r>
    </w:p>
    <w:p w:rsidR="007D3CE7" w:rsidRDefault="007D3CE7" w:rsidP="007D3CE7">
      <w:pPr>
        <w:rPr>
          <w:lang w:val="en-US"/>
        </w:rPr>
      </w:pPr>
      <w:r>
        <w:rPr>
          <w:lang w:val="en-US"/>
        </w:rPr>
        <w:t xml:space="preserve">Priority Reform Three is about transforming government institutions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.</w:t>
      </w:r>
    </w:p>
    <w:p w:rsidR="007D3CE7" w:rsidRDefault="007D3CE7" w:rsidP="007D3CE7">
      <w:pPr>
        <w:rPr>
          <w:lang w:val="en-US"/>
        </w:rPr>
      </w:pPr>
      <w:r>
        <w:rPr>
          <w:lang w:val="en-US"/>
        </w:rPr>
        <w:t xml:space="preserve">As part of this Priority Reform, parties commit to systemic and structural transformation of mainstream government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to improve accountability, and to respond to the needs of Aboriginal and Torres Strait Islande</w:t>
      </w:r>
      <w:r>
        <w:rPr>
          <w:lang w:val="en-US"/>
        </w:rPr>
        <w:t>r people</w:t>
      </w:r>
      <w:r>
        <w:rPr>
          <w:lang w:val="en-US"/>
        </w:rPr>
        <w:t>.</w:t>
      </w:r>
    </w:p>
    <w:p w:rsidR="007D3CE7" w:rsidRDefault="007D3CE7" w:rsidP="007D3CE7">
      <w:pPr>
        <w:pStyle w:val="Heading3"/>
      </w:pPr>
      <w:r>
        <w:t>Transformation Elements</w:t>
      </w:r>
    </w:p>
    <w:p w:rsidR="007D3CE7" w:rsidRDefault="007D3CE7" w:rsidP="007D3CE7">
      <w:pPr>
        <w:rPr>
          <w:lang w:val="en-US"/>
        </w:rPr>
      </w:pPr>
      <w:r>
        <w:rPr>
          <w:lang w:val="en-US"/>
        </w:rPr>
        <w:t xml:space="preserve">Governments commit to the following transformation elements in mainstream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:</w:t>
      </w:r>
    </w:p>
    <w:p w:rsidR="007D3CE7" w:rsidRDefault="007D3CE7" w:rsidP="007D3CE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Identify and eliminate racism</w:t>
      </w:r>
    </w:p>
    <w:p w:rsidR="007D3CE7" w:rsidRDefault="007D3CE7" w:rsidP="007D3CE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Embed and practice meaningful cultural safety</w:t>
      </w:r>
    </w:p>
    <w:p w:rsidR="007D3CE7" w:rsidRDefault="007D3CE7" w:rsidP="007D3CE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Deliver services in partnership with Aborig</w:t>
      </w:r>
      <w:bookmarkStart w:id="0" w:name="_GoBack"/>
      <w:bookmarkEnd w:id="0"/>
      <w:r>
        <w:rPr>
          <w:lang w:val="en-US"/>
        </w:rPr>
        <w:t xml:space="preserve">inal and Torres Strait Islander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, communities and people</w:t>
      </w:r>
    </w:p>
    <w:p w:rsidR="007D3CE7" w:rsidRDefault="007D3CE7" w:rsidP="007D3CE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Increase accountability through transparent funding allocations</w:t>
      </w:r>
    </w:p>
    <w:p w:rsidR="007D3CE7" w:rsidRDefault="007D3CE7" w:rsidP="007D3CE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Support Aboriginal and Torres Strait Islander cultures</w:t>
      </w:r>
    </w:p>
    <w:p w:rsidR="007D3CE7" w:rsidRPr="00E04AA5" w:rsidRDefault="007D3CE7" w:rsidP="007D3CE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Improve engagement with Aboriginal and Torres Strait Islander people</w:t>
      </w:r>
    </w:p>
    <w:p w:rsidR="007D3CE7" w:rsidRDefault="007D3CE7" w:rsidP="007D3CE7">
      <w:pPr>
        <w:pStyle w:val="Heading3"/>
      </w:pPr>
      <w:r>
        <w:t>Government Actions under the National Agreement</w:t>
      </w:r>
    </w:p>
    <w:p w:rsidR="007D3CE7" w:rsidRDefault="007D3CE7" w:rsidP="007D3CE7">
      <w:pPr>
        <w:rPr>
          <w:lang w:val="en-US"/>
        </w:rPr>
      </w:pPr>
      <w:r>
        <w:rPr>
          <w:lang w:val="en-US"/>
        </w:rPr>
        <w:t>Governments commit to challenge unconscious biases that result in decisions based on stereotypes.</w:t>
      </w:r>
    </w:p>
    <w:p w:rsidR="007D3CE7" w:rsidRDefault="007D3CE7" w:rsidP="007D3CE7">
      <w:pPr>
        <w:rPr>
          <w:lang w:val="en-US"/>
        </w:rPr>
      </w:pPr>
      <w:r>
        <w:rPr>
          <w:lang w:val="en-US"/>
        </w:rPr>
        <w:t>Addressing institutional racism and promoting cultural safety is essential.</w:t>
      </w:r>
    </w:p>
    <w:p w:rsidR="007D3CE7" w:rsidRDefault="007D3CE7" w:rsidP="007D3CE7">
      <w:pPr>
        <w:rPr>
          <w:lang w:val="en-US"/>
        </w:rPr>
      </w:pPr>
      <w:r>
        <w:rPr>
          <w:lang w:val="en-US"/>
        </w:rPr>
        <w:t>Governments commit to share and publish their engagement approaches that give effect to the transformation elements.</w:t>
      </w:r>
    </w:p>
    <w:p w:rsidR="007D3CE7" w:rsidRDefault="007D3CE7" w:rsidP="007D3CE7">
      <w:pPr>
        <w:rPr>
          <w:lang w:val="en-US"/>
        </w:rPr>
      </w:pPr>
      <w:r>
        <w:rPr>
          <w:lang w:val="en-US"/>
        </w:rPr>
        <w:t>Government commit to engaging with Aboriginal and Torres Strait Islander representatives before, during and after emergencies.</w:t>
      </w:r>
    </w:p>
    <w:p w:rsidR="007D3CE7" w:rsidRDefault="007D3CE7" w:rsidP="007D3CE7">
      <w:pPr>
        <w:pStyle w:val="Heading3"/>
      </w:pPr>
      <w:r>
        <w:t>Partnership Actions under the National Agreement</w:t>
      </w:r>
    </w:p>
    <w:p w:rsidR="007D3CE7" w:rsidRDefault="007D3CE7" w:rsidP="007D3CE7">
      <w:pPr>
        <w:rPr>
          <w:lang w:val="en-US"/>
        </w:rPr>
      </w:pPr>
      <w:r>
        <w:rPr>
          <w:lang w:val="en-US"/>
        </w:rPr>
        <w:lastRenderedPageBreak/>
        <w:t>Governments will identify, develop or strengthen an independent mechanism, or mechanisms, that will support, monitor and report on the transformation of mainstream agencies and institutions. The mechanism, or mechanisms, will:</w:t>
      </w:r>
    </w:p>
    <w:p w:rsidR="007D3CE7" w:rsidRDefault="007D3CE7" w:rsidP="007D3CE7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Support mainstream agencies and institutions to embed transformation elements, and monitor their progress</w:t>
      </w:r>
    </w:p>
    <w:p w:rsidR="007D3CE7" w:rsidRDefault="007D3CE7" w:rsidP="007D3CE7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Be </w:t>
      </w:r>
      <w:proofErr w:type="spellStart"/>
      <w:r>
        <w:rPr>
          <w:lang w:val="en-US"/>
        </w:rPr>
        <w:t>recognisable</w:t>
      </w:r>
      <w:proofErr w:type="spellEnd"/>
      <w:r>
        <w:rPr>
          <w:lang w:val="en-US"/>
        </w:rPr>
        <w:t xml:space="preserve"> for Aboriginal and Torres Strait Islander people and culturally safe</w:t>
      </w:r>
    </w:p>
    <w:p w:rsidR="007D3CE7" w:rsidRDefault="007D3CE7" w:rsidP="007D3CE7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Engage with Aboriginal and Torres Strait Islander people to listen and respond to concerns about mainstream </w:t>
      </w:r>
      <w:proofErr w:type="spellStart"/>
      <w:r>
        <w:rPr>
          <w:lang w:val="en-US"/>
        </w:rPr>
        <w:t>organisations</w:t>
      </w:r>
      <w:proofErr w:type="spellEnd"/>
    </w:p>
    <w:p w:rsidR="007D3CE7" w:rsidRPr="003F5BC1" w:rsidRDefault="007D3CE7" w:rsidP="007D3CE7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Report publicly on the transformation of mainstream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.</w:t>
      </w:r>
    </w:p>
    <w:p w:rsidR="006D0E9E" w:rsidRDefault="006D0E9E" w:rsidP="007154E5"/>
    <w:sectPr w:rsidR="006D0E9E" w:rsidSect="007154E5">
      <w:headerReference w:type="default" r:id="rId8"/>
      <w:footerReference w:type="default" r:id="rId9"/>
      <w:pgSz w:w="11906" w:h="16838"/>
      <w:pgMar w:top="241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49" w:rsidRDefault="000E6C49" w:rsidP="000E6C49">
      <w:pPr>
        <w:spacing w:after="0" w:line="240" w:lineRule="auto"/>
      </w:pPr>
      <w:r>
        <w:separator/>
      </w:r>
    </w:p>
  </w:endnote>
  <w:endnote w:type="continuationSeparator" w:id="0">
    <w:p w:rsidR="000E6C49" w:rsidRDefault="000E6C49" w:rsidP="000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 w:rsidP="000E6C49">
    <w:pPr>
      <w:pStyle w:val="Footer"/>
      <w:rPr>
        <w:noProof/>
        <w:lang w:eastAsia="en-AU"/>
      </w:rPr>
    </w:pPr>
  </w:p>
  <w:p w:rsidR="000E6C49" w:rsidRPr="000E6C49" w:rsidRDefault="000E6C49" w:rsidP="000E6C4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9857105</wp:posOffset>
          </wp:positionV>
          <wp:extent cx="7621270" cy="196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G-Partnership-follow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222"/>
                  <a:stretch/>
                </pic:blipFill>
                <pic:spPr bwMode="auto">
                  <a:xfrm>
                    <a:off x="0" y="0"/>
                    <a:ext cx="762127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49" w:rsidRDefault="000E6C49" w:rsidP="000E6C49">
      <w:pPr>
        <w:spacing w:after="0" w:line="240" w:lineRule="auto"/>
      </w:pPr>
      <w:r>
        <w:separator/>
      </w:r>
    </w:p>
  </w:footnote>
  <w:footnote w:type="continuationSeparator" w:id="0">
    <w:p w:rsidR="000E6C49" w:rsidRDefault="000E6C49" w:rsidP="000E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-1532284</wp:posOffset>
          </wp:positionV>
          <wp:extent cx="7550150" cy="93854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G-Partnership-follow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483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60C"/>
    <w:multiLevelType w:val="hybridMultilevel"/>
    <w:tmpl w:val="FDA0693A"/>
    <w:lvl w:ilvl="0" w:tplc="3F3C5B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77446DA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B9CE1F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10863DA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AA26238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98068BA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3D2AC3FC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49222AB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1586120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" w15:restartNumberingAfterBreak="0">
    <w:nsid w:val="1482775B"/>
    <w:multiLevelType w:val="multilevel"/>
    <w:tmpl w:val="8B3E6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551A6"/>
    <w:multiLevelType w:val="hybridMultilevel"/>
    <w:tmpl w:val="21925086"/>
    <w:lvl w:ilvl="0" w:tplc="90B4E3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FBFEF82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C37C042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F568F3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2906A44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2CD0707E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9BC5B2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5E3C91D2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9BE4DE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4" w15:restartNumberingAfterBreak="0">
    <w:nsid w:val="1CC60C4F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1A40"/>
    <w:multiLevelType w:val="hybridMultilevel"/>
    <w:tmpl w:val="651EC9BA"/>
    <w:lvl w:ilvl="0" w:tplc="9FE230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09AEC79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B328B55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B0CD024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6DA855E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7C6A80E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CC8CAB6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3A18399C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6B7E3720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6" w15:restartNumberingAfterBreak="0">
    <w:nsid w:val="350B30D6"/>
    <w:multiLevelType w:val="hybridMultilevel"/>
    <w:tmpl w:val="80ACB954"/>
    <w:lvl w:ilvl="0" w:tplc="3E3877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4A18FC66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33EDF6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4CFA8EFC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D50D39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FCA87654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6C0C74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E664C4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D226DBE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7" w15:restartNumberingAfterBreak="0">
    <w:nsid w:val="39E12F87"/>
    <w:multiLevelType w:val="hybridMultilevel"/>
    <w:tmpl w:val="0D360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520D"/>
    <w:multiLevelType w:val="hybridMultilevel"/>
    <w:tmpl w:val="EA3CC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9AC"/>
    <w:multiLevelType w:val="hybridMultilevel"/>
    <w:tmpl w:val="1164912E"/>
    <w:lvl w:ilvl="0" w:tplc="1D0A5E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878F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DF470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2647D"/>
    <w:multiLevelType w:val="hybridMultilevel"/>
    <w:tmpl w:val="BFE8C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81E1A"/>
    <w:multiLevelType w:val="hybridMultilevel"/>
    <w:tmpl w:val="F844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51120"/>
    <w:multiLevelType w:val="hybridMultilevel"/>
    <w:tmpl w:val="4EA2167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36333A"/>
    <w:multiLevelType w:val="hybridMultilevel"/>
    <w:tmpl w:val="E7C4EFBC"/>
    <w:lvl w:ilvl="0" w:tplc="C0202A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D5AC9DFE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8B9661B4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B96E79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5C409F9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19E84C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A2D409E4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0A46000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F1692BA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4" w15:restartNumberingAfterBreak="0">
    <w:nsid w:val="6FA26877"/>
    <w:multiLevelType w:val="hybridMultilevel"/>
    <w:tmpl w:val="C9AA127E"/>
    <w:lvl w:ilvl="0" w:tplc="DDB4CB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2404264C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9B48BAA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675A3DF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82AC818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E528B0DC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814CBB78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61686C68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3DF40812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5" w15:restartNumberingAfterBreak="0">
    <w:nsid w:val="7493799A"/>
    <w:multiLevelType w:val="hybridMultilevel"/>
    <w:tmpl w:val="9FFC225A"/>
    <w:lvl w:ilvl="0" w:tplc="2E8E4E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5909B10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482402F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6C0F58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11A6740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A48550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4A0497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2450D6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8626C4F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6" w15:restartNumberingAfterBreak="0">
    <w:nsid w:val="761D0635"/>
    <w:multiLevelType w:val="hybridMultilevel"/>
    <w:tmpl w:val="8A542782"/>
    <w:lvl w:ilvl="0" w:tplc="2E1C53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8EC6DB32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A350DEA8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9786667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4F6A05D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A1E662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AA89D1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AB4792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777AEB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7" w15:restartNumberingAfterBreak="0">
    <w:nsid w:val="7D556AEA"/>
    <w:multiLevelType w:val="hybridMultilevel"/>
    <w:tmpl w:val="CCAA3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4"/>
  </w:num>
  <w:num w:numId="6">
    <w:abstractNumId w:val="16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A"/>
    <w:rsid w:val="00085F71"/>
    <w:rsid w:val="000C3338"/>
    <w:rsid w:val="000E6C49"/>
    <w:rsid w:val="00327262"/>
    <w:rsid w:val="003302ED"/>
    <w:rsid w:val="00353A99"/>
    <w:rsid w:val="003F7FDC"/>
    <w:rsid w:val="004825EE"/>
    <w:rsid w:val="004873BD"/>
    <w:rsid w:val="005230F3"/>
    <w:rsid w:val="0054517B"/>
    <w:rsid w:val="005624AE"/>
    <w:rsid w:val="00592F99"/>
    <w:rsid w:val="005A6109"/>
    <w:rsid w:val="006C57B2"/>
    <w:rsid w:val="006D0E9E"/>
    <w:rsid w:val="007154E5"/>
    <w:rsid w:val="007D3CE7"/>
    <w:rsid w:val="00813B44"/>
    <w:rsid w:val="00970A97"/>
    <w:rsid w:val="00975C4D"/>
    <w:rsid w:val="00A07A0A"/>
    <w:rsid w:val="00A34367"/>
    <w:rsid w:val="00AC7873"/>
    <w:rsid w:val="00C420FD"/>
    <w:rsid w:val="00C832F4"/>
    <w:rsid w:val="00D24497"/>
    <w:rsid w:val="00D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486DC"/>
  <w15:chartTrackingRefBased/>
  <w15:docId w15:val="{5593DA62-0C88-4C65-AC99-0283592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EE"/>
    <w:pPr>
      <w:spacing w:after="360"/>
      <w:outlineLvl w:val="0"/>
    </w:pPr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EE"/>
    <w:pPr>
      <w:keepNext/>
      <w:keepLines/>
      <w:spacing w:after="240"/>
      <w:outlineLvl w:val="1"/>
    </w:pPr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25EE"/>
    <w:pPr>
      <w:spacing w:before="360" w:after="240"/>
      <w:outlineLvl w:val="2"/>
    </w:pPr>
    <w:rPr>
      <w:rFonts w:ascii="Century Gothic" w:hAnsi="Century Gothic"/>
      <w:b/>
      <w:color w:val="0652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4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4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4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4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4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graph">
    <w:name w:val="Single Paragraph"/>
    <w:basedOn w:val="Normal"/>
    <w:rsid w:val="00A07A0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A07A0A"/>
    <w:rPr>
      <w:b/>
    </w:rPr>
  </w:style>
  <w:style w:type="paragraph" w:customStyle="1" w:styleId="Signed">
    <w:name w:val="Signed"/>
    <w:basedOn w:val="Normal"/>
    <w:rsid w:val="00A07A0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A07A0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A07A0A"/>
    <w:rPr>
      <w:b/>
      <w:i/>
    </w:rPr>
  </w:style>
  <w:style w:type="paragraph" w:customStyle="1" w:styleId="LineForSignature">
    <w:name w:val="LineForSignature"/>
    <w:basedOn w:val="Normal"/>
    <w:rsid w:val="00A07A0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49"/>
  </w:style>
  <w:style w:type="paragraph" w:styleId="Footer">
    <w:name w:val="footer"/>
    <w:basedOn w:val="Normal"/>
    <w:link w:val="Foot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49"/>
  </w:style>
  <w:style w:type="character" w:customStyle="1" w:styleId="Heading1Char">
    <w:name w:val="Heading 1 Char"/>
    <w:basedOn w:val="DefaultParagraphFont"/>
    <w:link w:val="Heading1"/>
    <w:uiPriority w:val="9"/>
    <w:rsid w:val="004825EE"/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25EE"/>
    <w:rPr>
      <w:rFonts w:ascii="Century Gothic" w:eastAsiaTheme="minorEastAsia" w:hAnsi="Century Gothic"/>
      <w:b/>
      <w:color w:val="0652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4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4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4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154E5"/>
    <w:pPr>
      <w:widowControl w:val="0"/>
      <w:autoSpaceDE w:val="0"/>
      <w:autoSpaceDN w:val="0"/>
      <w:spacing w:after="0" w:line="292" w:lineRule="exact"/>
      <w:ind w:left="830" w:hanging="360"/>
    </w:pPr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3F7FDC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4825EE"/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character" w:styleId="IntenseEmphasis">
    <w:name w:val="Intense Emphasis"/>
    <w:basedOn w:val="DefaultParagraphFont"/>
    <w:uiPriority w:val="21"/>
    <w:qFormat/>
    <w:rsid w:val="004825EE"/>
    <w:rPr>
      <w:rFonts w:ascii="Century Gothic" w:hAnsi="Century Gothic"/>
      <w:i/>
      <w:iCs/>
      <w:color w:val="3B3838" w:themeColor="background2" w:themeShade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FD8B-B341-4B12-8543-EE789003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the Gap 2020: Priority Reform 3</dc:title>
  <dc:subject/>
  <dc:creator>National Indigenous Australians Agency</dc:creator>
  <cp:keywords/>
  <dc:description/>
  <cp:revision>2</cp:revision>
  <dcterms:created xsi:type="dcterms:W3CDTF">2020-07-23T23:12:00Z</dcterms:created>
  <dcterms:modified xsi:type="dcterms:W3CDTF">2020-07-23T23:12:00Z</dcterms:modified>
</cp:coreProperties>
</file>